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D1" w:rsidRDefault="008B63D1" w:rsidP="008B63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B63D1">
        <w:tc>
          <w:tcPr>
            <w:tcW w:w="4677" w:type="dxa"/>
          </w:tcPr>
          <w:p w:rsidR="008B63D1" w:rsidRDefault="008B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мая 2017 года</w:t>
            </w:r>
          </w:p>
        </w:tc>
        <w:tc>
          <w:tcPr>
            <w:tcW w:w="4677" w:type="dxa"/>
          </w:tcPr>
          <w:p w:rsidR="008B63D1" w:rsidRDefault="008B6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30-ОЗ</w:t>
            </w:r>
          </w:p>
        </w:tc>
      </w:tr>
    </w:tbl>
    <w:p w:rsidR="008B63D1" w:rsidRDefault="008B63D1" w:rsidP="008B63D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ВОРОНЕЖСКАЯ ОБЛАСТЬ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ПРИНЯТИЯ РЕШЕНИЯ ОБ ОСУЩЕСТВЛЕНИИ КОНТРОЛЯ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РАСХОДАМИ ЛИЦ, ЗАМЕЩАЮЩИХ МУНИЦИПАЛЬНЫЕ ДОЛЖНОСТИ,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ЗА РАСХОДАМИ ИХ СУПРУГ (СУПРУГОВ) И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НЕСОВЕРШЕННОЛЕТНИХ ДЕТЕЙ В ВОРОНЕЖСКОЙ ОБЛАСТИ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областной Думой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апреля 2017 года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>
        <w:rPr>
          <w:rFonts w:ascii="Calibri" w:hAnsi="Calibri" w:cs="Calibri"/>
        </w:rPr>
        <w:t>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году представления сведений. Указанная информация в письменной форме может быть представлена в установленном порядке: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Общественной палатой Российской Федерации;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общероссийскими средствами массовой информации.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замещающих муниципальные должности, а также за расходами их супруг (супругов) и несовершеннолетних детей.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указанных в </w:t>
      </w:r>
      <w:hyperlink w:anchor="Par18" w:history="1">
        <w:r>
          <w:rPr>
            <w:rFonts w:ascii="Calibri" w:hAnsi="Calibri" w:cs="Calibri"/>
            <w:color w:val="0000FF"/>
          </w:rPr>
          <w:t>абзаце первом части 1</w:t>
        </w:r>
      </w:hyperlink>
      <w:r>
        <w:rPr>
          <w:rFonts w:ascii="Calibri" w:hAnsi="Calibri" w:cs="Calibri"/>
        </w:rPr>
        <w:t xml:space="preserve"> настоящей статьи, принимается губернатором Воронежской области отдельно в отношении каждого такого лица и оформляется распоряжением губернатора Воронежской области.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замещающих муниципальные должности, а также за расходами их супруг (супругов) и несовершеннолетних детей осуществляется уполномоченным </w:t>
      </w:r>
      <w:r>
        <w:rPr>
          <w:rFonts w:ascii="Calibri" w:hAnsi="Calibri" w:cs="Calibri"/>
        </w:rPr>
        <w:lastRenderedPageBreak/>
        <w:t>структурным подразделением по профилактике коррупционных и иных правонарушений правительства Воронежской области.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Руководитель уполномоченного структурного подразделения по профилактике коррупционных и иных правонарушений правительства Воронежской области не позднее чем через два рабочих дня со дня получения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уведомляет его в письменной форме о принятом решении и о необходимости представить сведения, предусмотренные </w:t>
      </w:r>
      <w:hyperlink r:id="rId5" w:history="1">
        <w:r>
          <w:rPr>
            <w:rFonts w:ascii="Calibri" w:hAnsi="Calibri" w:cs="Calibri"/>
            <w:color w:val="0000FF"/>
          </w:rPr>
          <w:t>пунктом 1 части</w:t>
        </w:r>
        <w:proofErr w:type="gramEnd"/>
        <w:r>
          <w:rPr>
            <w:rFonts w:ascii="Calibri" w:hAnsi="Calibri" w:cs="Calibri"/>
            <w:color w:val="0000FF"/>
          </w:rPr>
          <w:t xml:space="preserve"> 4 статьи 4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доходам". В уведомлении должна содержаться информация о порядке представления и проверки достоверности и полноты этих сведений.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2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Воронежской области вступает в силу по истечении 10 дней со дня его официального опубликования.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Воронежской области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А.В.ГОРДЕЕВ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Воронеж,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02.05.2017</w:t>
      </w:r>
    </w:p>
    <w:p w:rsidR="008B63D1" w:rsidRDefault="008B63D1" w:rsidP="008B63D1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30-ОЗ</w:t>
      </w: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3D1" w:rsidRDefault="008B63D1" w:rsidP="008B63D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0000" w:rsidRDefault="008B63D1"/>
    <w:sectPr w:rsidR="00000000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3D1"/>
    <w:rsid w:val="008B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5590840A4A9F876FC05F711259F65DD2C25F22BDCA4DE2674811F291A5B864883C14FB3C581BB21F5A9167A45F929440BEFFE6227CEE04A2q7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2019-10-09T07:41:00Z</dcterms:created>
  <dcterms:modified xsi:type="dcterms:W3CDTF">2019-10-09T07:42:00Z</dcterms:modified>
</cp:coreProperties>
</file>