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r w:rsidRPr="001A3AB6">
        <w:rPr>
          <w:b/>
          <w:sz w:val="32"/>
          <w:szCs w:val="32"/>
        </w:rPr>
        <w:t xml:space="preserve">П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6F0DC5"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Pr>
          <w:sz w:val="24"/>
        </w:rPr>
        <w:t>17.03.2021 г.</w:t>
      </w:r>
      <w:r w:rsidR="00954728">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FB745E">
        <w:rPr>
          <w:sz w:val="24"/>
        </w:rPr>
        <w:t xml:space="preserve"> </w:t>
      </w:r>
      <w:r>
        <w:rPr>
          <w:sz w:val="24"/>
        </w:rPr>
        <w:t>102</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по</w:t>
      </w:r>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для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r w:rsidRPr="00172389">
        <w:rPr>
          <w:sz w:val="28"/>
          <w:szCs w:val="28"/>
        </w:rPr>
        <w:t xml:space="preserve">расположенным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r w:rsidR="00F90A78">
        <w:rPr>
          <w:sz w:val="28"/>
          <w:szCs w:val="28"/>
        </w:rPr>
        <w:t>мкр</w:t>
      </w:r>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E26277">
        <w:rPr>
          <w:sz w:val="28"/>
          <w:szCs w:val="28"/>
        </w:rPr>
        <w:t>1</w:t>
      </w:r>
      <w:r w:rsidR="005D1452">
        <w:rPr>
          <w:sz w:val="28"/>
          <w:szCs w:val="28"/>
        </w:rPr>
        <w:t>9.03</w:t>
      </w:r>
      <w:r w:rsidR="00455734" w:rsidRPr="00455734">
        <w:rPr>
          <w:sz w:val="28"/>
          <w:szCs w:val="28"/>
        </w:rPr>
        <w:t>.20</w:t>
      </w:r>
      <w:r w:rsidR="008D554A">
        <w:rPr>
          <w:sz w:val="28"/>
          <w:szCs w:val="28"/>
        </w:rPr>
        <w:t>2</w:t>
      </w:r>
      <w:r w:rsidR="005D1452">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E26277">
        <w:rPr>
          <w:sz w:val="28"/>
          <w:szCs w:val="28"/>
        </w:rPr>
        <w:t>1</w:t>
      </w:r>
      <w:r w:rsidR="005D1452">
        <w:rPr>
          <w:sz w:val="28"/>
          <w:szCs w:val="28"/>
        </w:rPr>
        <w:t>9</w:t>
      </w:r>
      <w:r w:rsidR="00E26277">
        <w:rPr>
          <w:sz w:val="28"/>
          <w:szCs w:val="28"/>
        </w:rPr>
        <w:t>.0</w:t>
      </w:r>
      <w:r w:rsidR="005D1452">
        <w:rPr>
          <w:sz w:val="28"/>
          <w:szCs w:val="28"/>
        </w:rPr>
        <w:t>4</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Павловск, мкр</w:t>
      </w:r>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5D1452">
        <w:rPr>
          <w:sz w:val="28"/>
          <w:szCs w:val="28"/>
        </w:rPr>
        <w:t>20</w:t>
      </w:r>
      <w:r w:rsidRPr="00455734">
        <w:rPr>
          <w:sz w:val="28"/>
          <w:szCs w:val="28"/>
        </w:rPr>
        <w:t>.</w:t>
      </w:r>
      <w:r w:rsidR="00E26277">
        <w:rPr>
          <w:sz w:val="28"/>
          <w:szCs w:val="28"/>
        </w:rPr>
        <w:t>0</w:t>
      </w:r>
      <w:r w:rsidR="005D1452">
        <w:rPr>
          <w:sz w:val="28"/>
          <w:szCs w:val="28"/>
        </w:rPr>
        <w:t>4</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с даты начала процедуры вскрытия конвертов с заявками на участие в конкурсе, по адресу: г. Павловск, </w:t>
      </w:r>
      <w:r w:rsidR="00F90A78">
        <w:rPr>
          <w:sz w:val="28"/>
          <w:szCs w:val="28"/>
        </w:rPr>
        <w:t>мкр</w:t>
      </w:r>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r w:rsidR="00FB3742" w:rsidRPr="00FB3742">
        <w:rPr>
          <w:sz w:val="28"/>
          <w:szCs w:val="28"/>
        </w:rPr>
        <w:t>Разместить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r w:rsidRPr="000F3969">
        <w:rPr>
          <w:sz w:val="28"/>
          <w:szCs w:val="28"/>
        </w:rPr>
        <w:t>Интернет</w:t>
      </w:r>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r w:rsidR="00711181" w:rsidRPr="00E00148">
        <w:rPr>
          <w:sz w:val="28"/>
          <w:szCs w:val="28"/>
        </w:rPr>
        <w:t xml:space="preserve">Контроль за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6F0DC5">
        <w:rPr>
          <w:sz w:val="24"/>
          <w:szCs w:val="24"/>
        </w:rPr>
        <w:t>17</w:t>
      </w:r>
      <w:r w:rsidR="00AF12E2">
        <w:rPr>
          <w:sz w:val="24"/>
          <w:szCs w:val="24"/>
        </w:rPr>
        <w:t>»</w:t>
      </w:r>
      <w:r w:rsidR="006F0DC5">
        <w:rPr>
          <w:sz w:val="24"/>
          <w:szCs w:val="24"/>
        </w:rPr>
        <w:t xml:space="preserve"> марта </w:t>
      </w:r>
      <w:bookmarkStart w:id="0" w:name="_GoBack"/>
      <w:bookmarkEnd w:id="0"/>
      <w:r w:rsidR="004C2299">
        <w:rPr>
          <w:sz w:val="24"/>
          <w:szCs w:val="24"/>
        </w:rPr>
        <w:t xml:space="preserve"> 202</w:t>
      </w:r>
      <w:r w:rsidR="00DC6B7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6F0DC5">
        <w:rPr>
          <w:sz w:val="24"/>
          <w:szCs w:val="24"/>
        </w:rPr>
        <w:t>102</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ru</w:t>
        </w:r>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B95950" w:rsidRPr="00B95950" w:rsidRDefault="00B95950" w:rsidP="00B95950">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0728FC" w:rsidRDefault="000728FC" w:rsidP="00B95950">
      <w:pPr>
        <w:suppressAutoHyphens/>
        <w:jc w:val="both"/>
        <w:rPr>
          <w:sz w:val="26"/>
          <w:szCs w:val="26"/>
          <w:lang w:eastAsia="ar-SA"/>
        </w:rPr>
      </w:pPr>
      <w:r w:rsidRPr="000728FC">
        <w:rPr>
          <w:sz w:val="26"/>
          <w:szCs w:val="26"/>
          <w:lang w:eastAsia="ar-SA"/>
        </w:rPr>
        <w:t>ИНН 3620000239, КПП 362001001, л/счет 05313007940 УФК по Воронежской области, ОКТМО 20633101, расчетный счет 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9118ED">
        <w:rPr>
          <w:sz w:val="26"/>
          <w:szCs w:val="26"/>
        </w:rPr>
        <w:t>5</w:t>
      </w:r>
      <w:r w:rsidR="00281B52">
        <w:rPr>
          <w:sz w:val="26"/>
          <w:szCs w:val="26"/>
        </w:rPr>
        <w:t xml:space="preserve"> </w:t>
      </w:r>
      <w:r w:rsidR="00FF7B83">
        <w:rPr>
          <w:sz w:val="26"/>
          <w:szCs w:val="26"/>
        </w:rPr>
        <w:t>92</w:t>
      </w:r>
      <w:r w:rsidR="009118ED">
        <w:rPr>
          <w:sz w:val="26"/>
          <w:szCs w:val="26"/>
        </w:rPr>
        <w:t>2</w:t>
      </w:r>
      <w:r w:rsidR="005C75F1">
        <w:rPr>
          <w:sz w:val="26"/>
          <w:szCs w:val="26"/>
        </w:rPr>
        <w:t>,</w:t>
      </w:r>
      <w:r w:rsidR="009118ED">
        <w:rPr>
          <w:sz w:val="26"/>
          <w:szCs w:val="26"/>
        </w:rPr>
        <w:t>0</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срок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235663">
        <w:rPr>
          <w:sz w:val="26"/>
          <w:szCs w:val="26"/>
          <w:lang w:eastAsia="ar-SA"/>
        </w:rPr>
        <w:t>1</w:t>
      </w:r>
      <w:r w:rsidR="009118ED">
        <w:rPr>
          <w:sz w:val="26"/>
          <w:szCs w:val="26"/>
          <w:lang w:eastAsia="ar-SA"/>
        </w:rPr>
        <w:t>2</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r w:rsidR="00CE2908" w:rsidRPr="00CE2908">
        <w:rPr>
          <w:sz w:val="26"/>
          <w:szCs w:val="26"/>
          <w:lang w:eastAsia="ar-SA"/>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ресурсоснабжения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235663">
        <w:rPr>
          <w:b/>
          <w:sz w:val="26"/>
          <w:szCs w:val="26"/>
          <w:lang w:eastAsia="ar-SA"/>
        </w:rPr>
        <w:t>1</w:t>
      </w:r>
      <w:r w:rsidR="007E51DB">
        <w:rPr>
          <w:b/>
          <w:sz w:val="26"/>
          <w:szCs w:val="26"/>
          <w:lang w:eastAsia="ar-SA"/>
        </w:rPr>
        <w:t>9</w:t>
      </w:r>
      <w:r w:rsidRPr="00820459">
        <w:rPr>
          <w:b/>
          <w:bCs/>
          <w:sz w:val="26"/>
          <w:szCs w:val="26"/>
          <w:lang w:eastAsia="ar-SA"/>
        </w:rPr>
        <w:t>.</w:t>
      </w:r>
      <w:r w:rsidR="007E51DB">
        <w:rPr>
          <w:b/>
          <w:bCs/>
          <w:sz w:val="26"/>
          <w:szCs w:val="26"/>
          <w:lang w:eastAsia="ar-SA"/>
        </w:rPr>
        <w:t>03</w:t>
      </w:r>
      <w:r w:rsidRPr="00B95950">
        <w:rPr>
          <w:b/>
          <w:bCs/>
          <w:sz w:val="26"/>
          <w:szCs w:val="26"/>
          <w:lang w:eastAsia="ar-SA"/>
        </w:rPr>
        <w:t>.20</w:t>
      </w:r>
      <w:r w:rsidR="00820459">
        <w:rPr>
          <w:b/>
          <w:bCs/>
          <w:sz w:val="26"/>
          <w:szCs w:val="26"/>
          <w:lang w:eastAsia="ar-SA"/>
        </w:rPr>
        <w:t>20</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235663">
        <w:rPr>
          <w:b/>
          <w:sz w:val="26"/>
          <w:szCs w:val="26"/>
          <w:lang w:eastAsia="ar-SA"/>
        </w:rPr>
        <w:t>1</w:t>
      </w:r>
      <w:r w:rsidR="007E51DB">
        <w:rPr>
          <w:b/>
          <w:sz w:val="26"/>
          <w:szCs w:val="26"/>
          <w:lang w:eastAsia="ar-SA"/>
        </w:rPr>
        <w:t>9</w:t>
      </w:r>
      <w:r w:rsidR="00E21DF7">
        <w:rPr>
          <w:b/>
          <w:sz w:val="26"/>
          <w:szCs w:val="26"/>
          <w:lang w:eastAsia="ar-SA"/>
        </w:rPr>
        <w:t>.</w:t>
      </w:r>
      <w:r w:rsidR="00235663">
        <w:rPr>
          <w:b/>
          <w:sz w:val="26"/>
          <w:szCs w:val="26"/>
          <w:lang w:eastAsia="ar-SA"/>
        </w:rPr>
        <w:t>0</w:t>
      </w:r>
      <w:r w:rsidR="007E51DB">
        <w:rPr>
          <w:b/>
          <w:sz w:val="26"/>
          <w:szCs w:val="26"/>
          <w:lang w:eastAsia="ar-SA"/>
        </w:rPr>
        <w:t>4</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по адресу: г. Павловск, мкр</w:t>
      </w:r>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Документы, представленные в составе заявки на участие в конкурсе после вскрытия конвертов участникам размещения заказа не возвращаются.</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тоится по адресу: г. Павловск,                  мкр</w:t>
      </w:r>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7E51DB">
        <w:rPr>
          <w:sz w:val="26"/>
          <w:szCs w:val="26"/>
          <w:lang w:eastAsia="ar-SA"/>
        </w:rPr>
        <w:t>20</w:t>
      </w:r>
      <w:r w:rsidRPr="00B95950">
        <w:rPr>
          <w:bCs/>
          <w:sz w:val="26"/>
          <w:szCs w:val="26"/>
          <w:lang w:eastAsia="ar-SA"/>
        </w:rPr>
        <w:t>.</w:t>
      </w:r>
      <w:r w:rsidR="00D80815">
        <w:rPr>
          <w:bCs/>
          <w:sz w:val="26"/>
          <w:szCs w:val="26"/>
          <w:lang w:eastAsia="ar-SA"/>
        </w:rPr>
        <w:t>0</w:t>
      </w:r>
      <w:r w:rsidR="007E51DB">
        <w:rPr>
          <w:bCs/>
          <w:sz w:val="26"/>
          <w:szCs w:val="26"/>
          <w:lang w:eastAsia="ar-SA"/>
        </w:rPr>
        <w:t>4</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ru</w:t>
        </w:r>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куб.м.</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8A60C0">
            <w:pPr>
              <w:jc w:val="center"/>
              <w:rPr>
                <w:sz w:val="18"/>
                <w:szCs w:val="18"/>
              </w:rPr>
            </w:pPr>
            <w:r>
              <w:rPr>
                <w:sz w:val="18"/>
                <w:szCs w:val="18"/>
              </w:rPr>
              <w:t>ул</w:t>
            </w:r>
            <w:r w:rsidR="00B95950" w:rsidRPr="00B95950">
              <w:rPr>
                <w:sz w:val="18"/>
                <w:szCs w:val="18"/>
              </w:rPr>
              <w:t xml:space="preserve">. </w:t>
            </w:r>
            <w:r w:rsidR="00E9003C">
              <w:rPr>
                <w:sz w:val="18"/>
                <w:szCs w:val="18"/>
              </w:rPr>
              <w:t>К. Готвальда</w:t>
            </w:r>
            <w:r w:rsidR="00B95950" w:rsidRPr="00B95950">
              <w:rPr>
                <w:sz w:val="18"/>
                <w:szCs w:val="18"/>
              </w:rPr>
              <w:t>,  д.</w:t>
            </w:r>
            <w:r w:rsidR="00E9003C">
              <w:rPr>
                <w:sz w:val="18"/>
                <w:szCs w:val="18"/>
              </w:rPr>
              <w:t>1</w:t>
            </w:r>
            <w:r w:rsidR="00FF7B83">
              <w:rPr>
                <w:sz w:val="18"/>
                <w:szCs w:val="18"/>
              </w:rPr>
              <w:t>4</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8A60C0">
            <w:pPr>
              <w:jc w:val="center"/>
              <w:rPr>
                <w:sz w:val="18"/>
                <w:szCs w:val="18"/>
              </w:rPr>
            </w:pPr>
            <w:r>
              <w:rPr>
                <w:sz w:val="18"/>
                <w:szCs w:val="18"/>
              </w:rPr>
              <w:t>19</w:t>
            </w:r>
            <w:r w:rsidR="008A60C0">
              <w:rPr>
                <w:sz w:val="18"/>
                <w:szCs w:val="18"/>
              </w:rPr>
              <w:t>17</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FF7B83" w:rsidP="00B95950">
            <w:pPr>
              <w:jc w:val="center"/>
              <w:rPr>
                <w:sz w:val="18"/>
                <w:szCs w:val="18"/>
              </w:rPr>
            </w:pPr>
            <w:r>
              <w:rPr>
                <w:sz w:val="18"/>
                <w:szCs w:val="18"/>
              </w:rPr>
              <w:t>11</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614A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FF7B83" w:rsidP="00FB7B33">
            <w:pPr>
              <w:jc w:val="center"/>
              <w:rPr>
                <w:sz w:val="18"/>
                <w:szCs w:val="18"/>
                <w:highlight w:val="yellow"/>
              </w:rPr>
            </w:pPr>
            <w:r>
              <w:rPr>
                <w:sz w:val="18"/>
                <w:szCs w:val="18"/>
              </w:rPr>
              <w:t>2036</w:t>
            </w:r>
            <w:r w:rsidR="00AB3C2E">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8D2F40" w:rsidP="008D2F40">
            <w:pPr>
              <w:jc w:val="center"/>
              <w:rPr>
                <w:sz w:val="18"/>
                <w:szCs w:val="18"/>
                <w:highlight w:val="yellow"/>
              </w:rPr>
            </w:pPr>
            <w:r>
              <w:rPr>
                <w:sz w:val="18"/>
                <w:szCs w:val="18"/>
              </w:rPr>
              <w:t>262</w:t>
            </w:r>
            <w:r w:rsidR="00FB7B33" w:rsidRPr="00FB7B33">
              <w:rPr>
                <w:sz w:val="18"/>
                <w:szCs w:val="18"/>
              </w:rPr>
              <w:t>,</w:t>
            </w:r>
            <w:r>
              <w:rPr>
                <w:sz w:val="18"/>
                <w:szCs w:val="18"/>
              </w:rPr>
              <w:t>0</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7614A0" w:rsidP="00FF7B83">
            <w:pPr>
              <w:jc w:val="center"/>
              <w:rPr>
                <w:sz w:val="18"/>
                <w:szCs w:val="18"/>
              </w:rPr>
            </w:pPr>
            <w:r>
              <w:rPr>
                <w:sz w:val="18"/>
                <w:szCs w:val="18"/>
              </w:rPr>
              <w:t>1</w:t>
            </w:r>
            <w:r w:rsidR="008D2F40">
              <w:rPr>
                <w:sz w:val="18"/>
                <w:szCs w:val="18"/>
              </w:rPr>
              <w:t>2</w:t>
            </w:r>
            <w:r w:rsidR="00FF7B83">
              <w:rPr>
                <w:sz w:val="18"/>
                <w:szCs w:val="18"/>
              </w:rPr>
              <w:t>8</w:t>
            </w:r>
            <w:r w:rsidR="00CC48B9">
              <w:rPr>
                <w:sz w:val="18"/>
                <w:szCs w:val="18"/>
              </w:rPr>
              <w:t>,</w:t>
            </w:r>
            <w:r w:rsidR="00FF7B83">
              <w:rPr>
                <w:sz w:val="18"/>
                <w:szCs w:val="18"/>
              </w:rPr>
              <w:t>4</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F7B83" w:rsidP="00B95950">
            <w:pPr>
              <w:jc w:val="center"/>
              <w:rPr>
                <w:sz w:val="18"/>
                <w:szCs w:val="18"/>
              </w:rPr>
            </w:pPr>
            <w:r>
              <w:rPr>
                <w:sz w:val="18"/>
                <w:szCs w:val="18"/>
              </w:rPr>
              <w:t>11</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614A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F7B83" w:rsidP="00FB7B33">
            <w:pPr>
              <w:jc w:val="center"/>
              <w:rPr>
                <w:sz w:val="18"/>
                <w:szCs w:val="18"/>
              </w:rPr>
            </w:pPr>
            <w:r>
              <w:rPr>
                <w:sz w:val="18"/>
                <w:szCs w:val="18"/>
              </w:rPr>
              <w:t>2036</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8D2F40" w:rsidP="008D2F40">
            <w:pPr>
              <w:jc w:val="center"/>
              <w:rPr>
                <w:sz w:val="18"/>
                <w:szCs w:val="18"/>
              </w:rPr>
            </w:pPr>
            <w:r>
              <w:rPr>
                <w:sz w:val="18"/>
                <w:szCs w:val="18"/>
              </w:rPr>
              <w:t>262</w:t>
            </w:r>
            <w:r w:rsidR="00AB3C2E">
              <w:rPr>
                <w:sz w:val="18"/>
                <w:szCs w:val="18"/>
              </w:rPr>
              <w:t>,</w:t>
            </w:r>
            <w:r>
              <w:rPr>
                <w:sz w:val="18"/>
                <w:szCs w:val="18"/>
              </w:rPr>
              <w:t>0</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7614A0" w:rsidP="00FF7B83">
            <w:pPr>
              <w:jc w:val="center"/>
              <w:rPr>
                <w:sz w:val="18"/>
                <w:szCs w:val="18"/>
              </w:rPr>
            </w:pPr>
            <w:r>
              <w:rPr>
                <w:sz w:val="18"/>
                <w:szCs w:val="18"/>
              </w:rPr>
              <w:t>1</w:t>
            </w:r>
            <w:r w:rsidR="008D2F40">
              <w:rPr>
                <w:sz w:val="18"/>
                <w:szCs w:val="18"/>
              </w:rPr>
              <w:t>2</w:t>
            </w:r>
            <w:r w:rsidR="00FF7B83">
              <w:rPr>
                <w:sz w:val="18"/>
                <w:szCs w:val="18"/>
              </w:rPr>
              <w:t>8</w:t>
            </w:r>
            <w:r w:rsidR="00A93E55">
              <w:rPr>
                <w:sz w:val="18"/>
                <w:szCs w:val="18"/>
              </w:rPr>
              <w:t>,</w:t>
            </w:r>
            <w:r w:rsidR="00FF7B83">
              <w:rPr>
                <w:sz w:val="18"/>
                <w:szCs w:val="18"/>
              </w:rPr>
              <w:t>4</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8D2F40">
            <w:pPr>
              <w:rPr>
                <w:sz w:val="22"/>
                <w:szCs w:val="22"/>
              </w:rPr>
            </w:pPr>
            <w:r w:rsidRPr="00B95950">
              <w:rPr>
                <w:sz w:val="22"/>
                <w:szCs w:val="22"/>
              </w:rPr>
              <w:t xml:space="preserve">Адрес многоквартирного дома: Воронежская обл., г. Павловск, </w:t>
            </w:r>
            <w:r w:rsidR="00524022">
              <w:rPr>
                <w:sz w:val="22"/>
                <w:szCs w:val="22"/>
              </w:rPr>
              <w:t>ул</w:t>
            </w:r>
            <w:r w:rsidRPr="00B95950">
              <w:rPr>
                <w:sz w:val="22"/>
                <w:szCs w:val="22"/>
              </w:rPr>
              <w:t xml:space="preserve">. </w:t>
            </w:r>
            <w:r w:rsidR="008D2F40">
              <w:rPr>
                <w:sz w:val="22"/>
                <w:szCs w:val="22"/>
              </w:rPr>
              <w:t>К. Готвальда</w:t>
            </w:r>
            <w:r w:rsidRPr="00B95950">
              <w:rPr>
                <w:sz w:val="22"/>
                <w:szCs w:val="22"/>
              </w:rPr>
              <w:t xml:space="preserve">, д. </w:t>
            </w:r>
            <w:r w:rsidR="008D2F40">
              <w:rPr>
                <w:sz w:val="22"/>
                <w:szCs w:val="22"/>
              </w:rPr>
              <w:t>1</w:t>
            </w:r>
            <w:r w:rsidR="00FF7B83">
              <w:rPr>
                <w:sz w:val="22"/>
                <w:szCs w:val="22"/>
              </w:rPr>
              <w:t>4</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6E4F6A">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CA287E">
            <w:pPr>
              <w:jc w:val="center"/>
              <w:rPr>
                <w:sz w:val="22"/>
                <w:szCs w:val="22"/>
              </w:rPr>
            </w:pPr>
            <w:r>
              <w:rPr>
                <w:sz w:val="22"/>
                <w:szCs w:val="22"/>
              </w:rPr>
              <w:t>19</w:t>
            </w:r>
            <w:r w:rsidR="00CA287E">
              <w:rPr>
                <w:sz w:val="22"/>
                <w:szCs w:val="22"/>
              </w:rPr>
              <w:t>17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CA287E">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243F02">
              <w:rPr>
                <w:sz w:val="22"/>
                <w:szCs w:val="22"/>
              </w:rPr>
              <w:t>4</w:t>
            </w:r>
            <w:r w:rsidR="00CA287E">
              <w:rPr>
                <w:sz w:val="22"/>
                <w:szCs w:val="22"/>
              </w:rPr>
              <w:t>4</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524022"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243F02" w:rsidP="00B95950">
            <w:pPr>
              <w:jc w:val="center"/>
              <w:rPr>
                <w:sz w:val="22"/>
                <w:szCs w:val="22"/>
              </w:rPr>
            </w:pPr>
            <w:r>
              <w:rPr>
                <w:sz w:val="22"/>
                <w:szCs w:val="22"/>
              </w:rPr>
              <w:t>11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Перечень жилых помещений, признанных непригодными для проживания (с указанием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реквизитов правовых актов о признании жилых помещений 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243F02" w:rsidP="00073858">
            <w:pPr>
              <w:jc w:val="center"/>
              <w:rPr>
                <w:sz w:val="22"/>
                <w:szCs w:val="22"/>
              </w:rPr>
            </w:pPr>
            <w:r>
              <w:rPr>
                <w:sz w:val="22"/>
                <w:szCs w:val="22"/>
              </w:rPr>
              <w:t>2036</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куб.м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CA287E" w:rsidP="00243F02">
            <w:pPr>
              <w:jc w:val="center"/>
              <w:rPr>
                <w:sz w:val="22"/>
                <w:szCs w:val="22"/>
                <w:highlight w:val="yellow"/>
              </w:rPr>
            </w:pPr>
            <w:r>
              <w:rPr>
                <w:sz w:val="22"/>
                <w:szCs w:val="22"/>
              </w:rPr>
              <w:t>3</w:t>
            </w:r>
            <w:r w:rsidR="00243F02">
              <w:rPr>
                <w:sz w:val="22"/>
                <w:szCs w:val="22"/>
              </w:rPr>
              <w:t>39</w:t>
            </w:r>
            <w:r w:rsidR="009C5817" w:rsidRPr="009C5817">
              <w:rPr>
                <w:sz w:val="22"/>
                <w:szCs w:val="22"/>
              </w:rPr>
              <w:t>,</w:t>
            </w:r>
            <w:r w:rsidR="00243F02">
              <w:rPr>
                <w:sz w:val="22"/>
                <w:szCs w:val="22"/>
              </w:rPr>
              <w:t>3</w:t>
            </w:r>
            <w:r w:rsidR="00065E4B">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CA287E" w:rsidP="009D4D74">
            <w:pPr>
              <w:jc w:val="center"/>
              <w:rPr>
                <w:sz w:val="22"/>
                <w:szCs w:val="22"/>
              </w:rPr>
            </w:pPr>
            <w:r>
              <w:rPr>
                <w:sz w:val="22"/>
                <w:szCs w:val="22"/>
              </w:rPr>
              <w:t>2</w:t>
            </w:r>
            <w:r w:rsidR="009D4D74">
              <w:rPr>
                <w:sz w:val="22"/>
                <w:szCs w:val="22"/>
              </w:rPr>
              <w:t>8</w:t>
            </w:r>
            <w:r>
              <w:rPr>
                <w:sz w:val="22"/>
                <w:szCs w:val="22"/>
              </w:rPr>
              <w:t>2</w:t>
            </w:r>
            <w:r w:rsidR="00C04D31">
              <w:rPr>
                <w:sz w:val="22"/>
                <w:szCs w:val="22"/>
              </w:rPr>
              <w:t>,</w:t>
            </w:r>
            <w:r>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CA287E" w:rsidP="009D4D74">
            <w:pPr>
              <w:jc w:val="center"/>
              <w:rPr>
                <w:sz w:val="22"/>
                <w:szCs w:val="22"/>
              </w:rPr>
            </w:pPr>
            <w:r>
              <w:rPr>
                <w:sz w:val="22"/>
                <w:szCs w:val="22"/>
              </w:rPr>
              <w:t>2</w:t>
            </w:r>
            <w:r w:rsidR="009D4D74">
              <w:rPr>
                <w:sz w:val="22"/>
                <w:szCs w:val="22"/>
              </w:rPr>
              <w:t>8</w:t>
            </w:r>
            <w:r>
              <w:rPr>
                <w:sz w:val="22"/>
                <w:szCs w:val="22"/>
              </w:rPr>
              <w:t>2</w:t>
            </w:r>
            <w:r w:rsidR="00C04D31">
              <w:rPr>
                <w:sz w:val="22"/>
                <w:szCs w:val="22"/>
              </w:rPr>
              <w:t>,</w:t>
            </w:r>
            <w:r>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 xml:space="preserve">нежилых помещений (общая площадь нежилых помещений, не входящих в состав общего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помещений общего пользования (общая площадь нежилых помещений, не входящих в состав</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9751B"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CD3E99" w:rsidP="002F4571">
            <w:pPr>
              <w:jc w:val="center"/>
              <w:rPr>
                <w:sz w:val="22"/>
                <w:szCs w:val="22"/>
              </w:rPr>
            </w:pPr>
            <w:r>
              <w:rPr>
                <w:sz w:val="22"/>
                <w:szCs w:val="22"/>
              </w:rPr>
              <w:t>1</w:t>
            </w:r>
            <w:r w:rsidR="00CA287E">
              <w:rPr>
                <w:sz w:val="22"/>
                <w:szCs w:val="22"/>
              </w:rPr>
              <w:t>2</w:t>
            </w:r>
            <w:r w:rsidR="002F4571">
              <w:rPr>
                <w:sz w:val="22"/>
                <w:szCs w:val="22"/>
              </w:rPr>
              <w:t>8</w:t>
            </w:r>
            <w:r w:rsidR="00A93E55">
              <w:rPr>
                <w:sz w:val="22"/>
                <w:szCs w:val="22"/>
              </w:rPr>
              <w:t>,</w:t>
            </w:r>
            <w:r w:rsidR="002F4571">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Уборочная площадь других помещений общего пользования (включая технические этажи,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CA287E" w:rsidP="002F4571">
            <w:pPr>
              <w:jc w:val="center"/>
              <w:rPr>
                <w:sz w:val="22"/>
                <w:szCs w:val="22"/>
              </w:rPr>
            </w:pPr>
            <w:r>
              <w:rPr>
                <w:sz w:val="22"/>
                <w:szCs w:val="22"/>
              </w:rPr>
              <w:t>106</w:t>
            </w:r>
            <w:r w:rsidR="002F4571">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CD3E9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2F4571" w:rsidRPr="002F4571">
              <w:rPr>
                <w:sz w:val="22"/>
                <w:szCs w:val="22"/>
              </w:rPr>
              <w:t>36:20:0100003:112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ж/б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592F27">
            <w:pPr>
              <w:jc w:val="center"/>
              <w:rPr>
                <w:sz w:val="22"/>
                <w:szCs w:val="22"/>
              </w:rPr>
            </w:pPr>
            <w:r w:rsidRPr="00B95950">
              <w:rPr>
                <w:sz w:val="22"/>
                <w:szCs w:val="22"/>
              </w:rPr>
              <w:t xml:space="preserve"> </w:t>
            </w:r>
            <w:r w:rsidR="00592F27">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990393" w:rsidP="00B95950">
            <w:pPr>
              <w:jc w:val="center"/>
              <w:rPr>
                <w:sz w:val="22"/>
                <w:szCs w:val="22"/>
              </w:rPr>
            </w:pPr>
            <w:r>
              <w:rPr>
                <w:sz w:val="22"/>
                <w:szCs w:val="22"/>
              </w:rPr>
              <w:t>отсутствует</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Pr>
                <w:sz w:val="22"/>
                <w:szCs w:val="22"/>
              </w:rPr>
              <w:t>Скатная 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90393"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E95192" w:rsidRPr="00E95192" w:rsidTr="00E95192">
        <w:trPr>
          <w:trHeight w:val="300"/>
        </w:trPr>
        <w:tc>
          <w:tcPr>
            <w:tcW w:w="4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9500" w:type="dxa"/>
            <w:gridSpan w:val="4"/>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Перечень</w:t>
            </w:r>
          </w:p>
        </w:tc>
      </w:tr>
      <w:tr w:rsidR="00E95192" w:rsidRPr="00E95192" w:rsidTr="00E95192">
        <w:trPr>
          <w:trHeight w:val="300"/>
        </w:trPr>
        <w:tc>
          <w:tcPr>
            <w:tcW w:w="9960" w:type="dxa"/>
            <w:gridSpan w:val="5"/>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обязательных работ и услуг по содержанию и ремонту общего имущества собственников</w:t>
            </w:r>
          </w:p>
        </w:tc>
      </w:tr>
      <w:tr w:rsidR="00E95192" w:rsidRPr="00E95192" w:rsidTr="00E95192">
        <w:trPr>
          <w:trHeight w:val="300"/>
        </w:trPr>
        <w:tc>
          <w:tcPr>
            <w:tcW w:w="9960" w:type="dxa"/>
            <w:gridSpan w:val="5"/>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помещений в многоквартирном доме ул. Готвальда  д.</w:t>
            </w:r>
            <w:r>
              <w:rPr>
                <w:b/>
                <w:bCs/>
                <w:i/>
                <w:iCs/>
                <w:sz w:val="22"/>
                <w:szCs w:val="22"/>
              </w:rPr>
              <w:t xml:space="preserve"> </w:t>
            </w:r>
            <w:r w:rsidRPr="00E95192">
              <w:rPr>
                <w:b/>
                <w:bCs/>
                <w:i/>
                <w:iCs/>
                <w:sz w:val="22"/>
                <w:szCs w:val="22"/>
              </w:rPr>
              <w:t>14</w:t>
            </w:r>
          </w:p>
        </w:tc>
      </w:tr>
      <w:tr w:rsidR="00E95192" w:rsidRPr="00E95192" w:rsidTr="00E95192">
        <w:trPr>
          <w:trHeight w:val="300"/>
        </w:trPr>
        <w:tc>
          <w:tcPr>
            <w:tcW w:w="4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9500" w:type="dxa"/>
            <w:gridSpan w:val="4"/>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являющегося объектом конкурса, без вывоза ТКО</w:t>
            </w:r>
          </w:p>
        </w:tc>
      </w:tr>
      <w:tr w:rsidR="00E95192" w:rsidRPr="00E95192" w:rsidTr="00E95192">
        <w:trPr>
          <w:trHeight w:val="300"/>
        </w:trPr>
        <w:tc>
          <w:tcPr>
            <w:tcW w:w="4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452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r>
      <w:tr w:rsidR="00E95192" w:rsidRPr="00E95192" w:rsidTr="00E95192">
        <w:trPr>
          <w:trHeight w:val="300"/>
        </w:trPr>
        <w:tc>
          <w:tcPr>
            <w:tcW w:w="4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452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r>
      <w:tr w:rsidR="00E95192" w:rsidRPr="00E95192" w:rsidTr="00E95192">
        <w:trPr>
          <w:trHeight w:val="330"/>
        </w:trPr>
        <w:tc>
          <w:tcPr>
            <w:tcW w:w="7140" w:type="dxa"/>
            <w:gridSpan w:val="3"/>
            <w:tcBorders>
              <w:top w:val="nil"/>
              <w:left w:val="nil"/>
              <w:bottom w:val="nil"/>
              <w:right w:val="nil"/>
            </w:tcBorders>
            <w:shd w:val="clear" w:color="auto" w:fill="auto"/>
            <w:noWrap/>
            <w:vAlign w:val="bottom"/>
            <w:hideMark/>
          </w:tcPr>
          <w:p w:rsidR="00E95192" w:rsidRPr="00E95192" w:rsidRDefault="00E95192" w:rsidP="00E95192">
            <w:pPr>
              <w:jc w:val="right"/>
              <w:rPr>
                <w:b/>
                <w:bCs/>
                <w:i/>
                <w:iCs/>
                <w:sz w:val="22"/>
                <w:szCs w:val="22"/>
              </w:rPr>
            </w:pPr>
            <w:r w:rsidRPr="00E95192">
              <w:rPr>
                <w:b/>
                <w:bCs/>
                <w:i/>
                <w:iCs/>
                <w:sz w:val="22"/>
                <w:szCs w:val="22"/>
              </w:rPr>
              <w:t>Лот №1</w:t>
            </w:r>
          </w:p>
        </w:tc>
        <w:tc>
          <w:tcPr>
            <w:tcW w:w="1420" w:type="dxa"/>
            <w:tcBorders>
              <w:top w:val="nil"/>
              <w:left w:val="nil"/>
              <w:bottom w:val="nil"/>
              <w:right w:val="nil"/>
            </w:tcBorders>
            <w:shd w:val="clear" w:color="auto" w:fill="auto"/>
            <w:noWrap/>
            <w:vAlign w:val="bottom"/>
            <w:hideMark/>
          </w:tcPr>
          <w:p w:rsidR="00E95192" w:rsidRPr="00E95192" w:rsidRDefault="00E95192" w:rsidP="00E95192">
            <w:pPr>
              <w:jc w:val="right"/>
              <w:rPr>
                <w:b/>
                <w:bCs/>
                <w:i/>
                <w:iCs/>
                <w:sz w:val="22"/>
                <w:szCs w:val="22"/>
              </w:rPr>
            </w:pPr>
            <w:r w:rsidRPr="00E95192">
              <w:rPr>
                <w:b/>
                <w:bCs/>
                <w:i/>
                <w:iCs/>
                <w:sz w:val="22"/>
                <w:szCs w:val="22"/>
              </w:rPr>
              <w:t>282,00</w:t>
            </w:r>
          </w:p>
        </w:tc>
        <w:tc>
          <w:tcPr>
            <w:tcW w:w="1400" w:type="dxa"/>
            <w:tcBorders>
              <w:top w:val="nil"/>
              <w:left w:val="nil"/>
              <w:bottom w:val="nil"/>
              <w:right w:val="nil"/>
            </w:tcBorders>
            <w:shd w:val="clear" w:color="auto" w:fill="auto"/>
            <w:noWrap/>
            <w:vAlign w:val="bottom"/>
            <w:hideMark/>
          </w:tcPr>
          <w:p w:rsidR="00E95192" w:rsidRPr="00E95192" w:rsidRDefault="00E95192" w:rsidP="00E95192">
            <w:pPr>
              <w:rPr>
                <w:b/>
                <w:bCs/>
                <w:i/>
                <w:iCs/>
                <w:sz w:val="22"/>
                <w:szCs w:val="22"/>
              </w:rPr>
            </w:pPr>
            <w:r w:rsidRPr="00E95192">
              <w:rPr>
                <w:b/>
                <w:bCs/>
                <w:i/>
                <w:iCs/>
                <w:sz w:val="22"/>
                <w:szCs w:val="22"/>
              </w:rPr>
              <w:t>м</w:t>
            </w:r>
            <w:r w:rsidRPr="00E95192">
              <w:rPr>
                <w:b/>
                <w:bCs/>
                <w:i/>
                <w:iCs/>
                <w:sz w:val="22"/>
                <w:szCs w:val="22"/>
                <w:vertAlign w:val="superscript"/>
              </w:rPr>
              <w:t>2</w:t>
            </w:r>
          </w:p>
        </w:tc>
      </w:tr>
      <w:tr w:rsidR="00E95192" w:rsidRPr="00E95192" w:rsidTr="00E95192">
        <w:trPr>
          <w:trHeight w:val="315"/>
        </w:trPr>
        <w:tc>
          <w:tcPr>
            <w:tcW w:w="4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452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142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140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r>
      <w:tr w:rsidR="00E95192" w:rsidRPr="00E95192" w:rsidTr="00E95192">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E95192" w:rsidRPr="00E95192" w:rsidRDefault="00E95192" w:rsidP="00E95192">
            <w:pPr>
              <w:jc w:val="center"/>
              <w:rPr>
                <w:b/>
                <w:bCs/>
                <w:i/>
                <w:iCs/>
                <w:sz w:val="22"/>
                <w:szCs w:val="22"/>
              </w:rPr>
            </w:pPr>
            <w:r w:rsidRPr="00E95192">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Стоимость на 1 кв.м общ. площади (рублей в месяц)</w:t>
            </w:r>
          </w:p>
        </w:tc>
      </w:tr>
      <w:tr w:rsidR="00E95192" w:rsidRPr="00E95192" w:rsidTr="00E95192">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1.Содержание помещений общего пользования</w:t>
            </w:r>
          </w:p>
        </w:tc>
      </w:tr>
      <w:tr w:rsidR="00E95192" w:rsidRPr="00E95192" w:rsidTr="00E95192">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4 771,44</w:t>
            </w:r>
          </w:p>
        </w:tc>
        <w:tc>
          <w:tcPr>
            <w:tcW w:w="140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1,41</w:t>
            </w:r>
          </w:p>
        </w:tc>
      </w:tr>
      <w:tr w:rsidR="00E95192" w:rsidRPr="00E95192" w:rsidTr="00E95192">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50 760,00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15,00</w:t>
            </w:r>
          </w:p>
        </w:tc>
      </w:tr>
      <w:tr w:rsidR="00E95192" w:rsidRPr="00E95192" w:rsidTr="00E95192">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2. Уборка земельного участка, входящего в состав общего имущества многоквартирного дома</w:t>
            </w:r>
          </w:p>
        </w:tc>
      </w:tr>
      <w:tr w:rsidR="00E95192" w:rsidRPr="00E95192" w:rsidTr="00E95192">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6 835,68</w:t>
            </w:r>
          </w:p>
        </w:tc>
        <w:tc>
          <w:tcPr>
            <w:tcW w:w="140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2,02</w:t>
            </w:r>
          </w:p>
        </w:tc>
      </w:tr>
      <w:tr w:rsidR="00E95192" w:rsidRPr="00E95192" w:rsidTr="00E95192">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7 444,80</w:t>
            </w:r>
          </w:p>
        </w:tc>
        <w:tc>
          <w:tcPr>
            <w:tcW w:w="140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2,20</w:t>
            </w:r>
          </w:p>
        </w:tc>
      </w:tr>
      <w:tr w:rsidR="00E95192" w:rsidRPr="00E95192" w:rsidTr="00E95192">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 Уборка мусора с газона, очиска урн</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1 793,52</w:t>
            </w:r>
          </w:p>
        </w:tc>
        <w:tc>
          <w:tcPr>
            <w:tcW w:w="140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0,53</w:t>
            </w:r>
          </w:p>
        </w:tc>
      </w:tr>
      <w:tr w:rsidR="00E95192" w:rsidRPr="00E95192" w:rsidTr="00E95192">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1 184,40</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0,35</w:t>
            </w:r>
          </w:p>
        </w:tc>
      </w:tr>
      <w:tr w:rsidR="00E95192" w:rsidRPr="00E95192" w:rsidTr="00E95192">
        <w:trPr>
          <w:trHeight w:val="315"/>
        </w:trPr>
        <w:tc>
          <w:tcPr>
            <w:tcW w:w="460" w:type="dxa"/>
            <w:vMerge/>
            <w:tcBorders>
              <w:top w:val="nil"/>
              <w:left w:val="single" w:sz="8" w:space="0" w:color="auto"/>
              <w:bottom w:val="single" w:sz="8" w:space="0" w:color="000000"/>
              <w:right w:val="single" w:sz="4" w:space="0" w:color="auto"/>
            </w:tcBorders>
            <w:vAlign w:val="center"/>
            <w:hideMark/>
          </w:tcPr>
          <w:p w:rsidR="00E95192" w:rsidRPr="00E95192" w:rsidRDefault="00E95192" w:rsidP="00E95192">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E95192" w:rsidRPr="00E95192" w:rsidRDefault="00E95192" w:rsidP="00E95192">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E95192" w:rsidRPr="00E95192" w:rsidRDefault="00E95192" w:rsidP="00E95192">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E95192" w:rsidRPr="00E95192" w:rsidRDefault="00E95192" w:rsidP="00E95192">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E95192" w:rsidRPr="00E95192" w:rsidRDefault="00E95192" w:rsidP="00E95192">
            <w:pPr>
              <w:rPr>
                <w:sz w:val="22"/>
                <w:szCs w:val="22"/>
              </w:rPr>
            </w:pPr>
          </w:p>
        </w:tc>
      </w:tr>
      <w:tr w:rsidR="00E95192" w:rsidRPr="00E95192" w:rsidTr="00E95192">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3. Подготовка многоквартирного дома к сезонной эксплуатации</w:t>
            </w:r>
          </w:p>
        </w:tc>
      </w:tr>
      <w:tr w:rsidR="00E95192" w:rsidRPr="00E95192" w:rsidTr="00E95192">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1 421,28</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0,42</w:t>
            </w:r>
          </w:p>
        </w:tc>
      </w:tr>
      <w:tr w:rsidR="00E95192" w:rsidRPr="00E95192" w:rsidTr="00E95192">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2 910,24</w:t>
            </w:r>
          </w:p>
        </w:tc>
        <w:tc>
          <w:tcPr>
            <w:tcW w:w="1400" w:type="dxa"/>
            <w:tcBorders>
              <w:top w:val="nil"/>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0,86</w:t>
            </w:r>
          </w:p>
        </w:tc>
      </w:tr>
      <w:tr w:rsidR="00E95192" w:rsidRPr="00E95192" w:rsidTr="00E95192">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при подготовке жилищного фонда к эксплуатации в осенне - зимний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4 636,08</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1,37</w:t>
            </w:r>
          </w:p>
        </w:tc>
      </w:tr>
      <w:tr w:rsidR="00E95192" w:rsidRPr="00E95192" w:rsidTr="00E95192">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E95192" w:rsidRPr="00E95192" w:rsidRDefault="00E95192" w:rsidP="00E95192">
            <w:pPr>
              <w:jc w:val="center"/>
              <w:rPr>
                <w:b/>
                <w:bCs/>
                <w:i/>
                <w:iCs/>
                <w:sz w:val="22"/>
                <w:szCs w:val="22"/>
              </w:rPr>
            </w:pPr>
            <w:r w:rsidRPr="00E95192">
              <w:rPr>
                <w:b/>
                <w:bCs/>
                <w:i/>
                <w:iCs/>
                <w:sz w:val="22"/>
                <w:szCs w:val="22"/>
              </w:rPr>
              <w:lastRenderedPageBreak/>
              <w:t>4. Проверка, технический осмотр и мелкий ремонт</w:t>
            </w:r>
          </w:p>
        </w:tc>
      </w:tr>
      <w:tr w:rsidR="00E95192" w:rsidRPr="00E95192" w:rsidTr="00E95192">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Проверка заземления  оболочки электорокабеля,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4 703,76</w:t>
            </w:r>
          </w:p>
        </w:tc>
        <w:tc>
          <w:tcPr>
            <w:tcW w:w="140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1,39</w:t>
            </w:r>
          </w:p>
        </w:tc>
      </w:tr>
      <w:tr w:rsidR="00E95192" w:rsidRPr="00E95192" w:rsidTr="00E95192">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7 444,80</w:t>
            </w:r>
          </w:p>
        </w:tc>
        <w:tc>
          <w:tcPr>
            <w:tcW w:w="140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2,2</w:t>
            </w:r>
          </w:p>
        </w:tc>
      </w:tr>
      <w:tr w:rsidR="00E95192" w:rsidRPr="00E95192" w:rsidTr="00E95192">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3 519,36</w:t>
            </w:r>
          </w:p>
        </w:tc>
        <w:tc>
          <w:tcPr>
            <w:tcW w:w="140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1,04</w:t>
            </w:r>
          </w:p>
        </w:tc>
      </w:tr>
      <w:tr w:rsidR="00E95192" w:rsidRPr="00E95192" w:rsidTr="00E95192">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4</w:t>
            </w:r>
          </w:p>
        </w:tc>
        <w:tc>
          <w:tcPr>
            <w:tcW w:w="4520" w:type="dxa"/>
            <w:tcBorders>
              <w:top w:val="nil"/>
              <w:left w:val="nil"/>
              <w:bottom w:val="nil"/>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1 218,24</w:t>
            </w:r>
          </w:p>
        </w:tc>
        <w:tc>
          <w:tcPr>
            <w:tcW w:w="1400" w:type="dxa"/>
            <w:tcBorders>
              <w:top w:val="nil"/>
              <w:left w:val="nil"/>
              <w:bottom w:val="nil"/>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0,36</w:t>
            </w:r>
          </w:p>
        </w:tc>
      </w:tr>
      <w:tr w:rsidR="00E95192" w:rsidRPr="00E95192" w:rsidTr="00E95192">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13 536,00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4,0</w:t>
            </w:r>
          </w:p>
        </w:tc>
      </w:tr>
      <w:tr w:rsidR="00E95192" w:rsidRPr="00E95192" w:rsidTr="00E95192">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E95192" w:rsidRPr="00E95192" w:rsidRDefault="00E95192" w:rsidP="00E95192">
            <w:pPr>
              <w:jc w:val="center"/>
              <w:rPr>
                <w:b/>
                <w:bCs/>
                <w:sz w:val="22"/>
                <w:szCs w:val="22"/>
              </w:rPr>
            </w:pPr>
            <w:r w:rsidRPr="00E95192">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E95192" w:rsidRPr="00E95192" w:rsidRDefault="00E95192" w:rsidP="00E95192">
            <w:pPr>
              <w:rPr>
                <w:sz w:val="22"/>
                <w:szCs w:val="22"/>
              </w:rPr>
            </w:pPr>
            <w:r w:rsidRPr="00E95192">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E95192" w:rsidRPr="00E95192" w:rsidRDefault="00E95192" w:rsidP="00E95192">
            <w:pPr>
              <w:jc w:val="center"/>
              <w:rPr>
                <w:b/>
                <w:bCs/>
                <w:sz w:val="22"/>
                <w:szCs w:val="22"/>
              </w:rPr>
            </w:pPr>
            <w:r w:rsidRPr="00E95192">
              <w:rPr>
                <w:b/>
                <w:bCs/>
                <w:sz w:val="22"/>
                <w:szCs w:val="22"/>
              </w:rPr>
              <w:t>112179,60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E95192" w:rsidRPr="00E95192" w:rsidRDefault="00E95192" w:rsidP="00E95192">
            <w:pPr>
              <w:jc w:val="center"/>
              <w:rPr>
                <w:b/>
                <w:bCs/>
                <w:sz w:val="22"/>
                <w:szCs w:val="22"/>
              </w:rPr>
            </w:pPr>
            <w:r w:rsidRPr="00E95192">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r w:rsidRPr="00A944F4">
        <w:rPr>
          <w:b/>
          <w:sz w:val="22"/>
          <w:szCs w:val="22"/>
        </w:rPr>
        <w:t xml:space="preserve">Приложение № </w:t>
      </w:r>
      <w:r>
        <w:rPr>
          <w:b/>
          <w:sz w:val="22"/>
          <w:szCs w:val="22"/>
        </w:rPr>
        <w:t>3</w:t>
      </w:r>
      <w:r w:rsidRPr="00A944F4">
        <w:rPr>
          <w:b/>
          <w:sz w:val="22"/>
          <w:szCs w:val="22"/>
        </w:rPr>
        <w:t xml:space="preserve"> к конкурсной документации</w:t>
      </w: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E95192" w:rsidRPr="00E95192" w:rsidTr="00E95192">
        <w:trPr>
          <w:trHeight w:val="300"/>
        </w:trPr>
        <w:tc>
          <w:tcPr>
            <w:tcW w:w="62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9340" w:type="dxa"/>
            <w:gridSpan w:val="4"/>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Перечень</w:t>
            </w:r>
          </w:p>
        </w:tc>
      </w:tr>
      <w:tr w:rsidR="00E95192" w:rsidRPr="00E95192" w:rsidTr="00E95192">
        <w:trPr>
          <w:trHeight w:val="300"/>
        </w:trPr>
        <w:tc>
          <w:tcPr>
            <w:tcW w:w="9960" w:type="dxa"/>
            <w:gridSpan w:val="5"/>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дополнительных работ и услуг по содержанию и ремонту общего имущества собственников</w:t>
            </w:r>
          </w:p>
        </w:tc>
      </w:tr>
      <w:tr w:rsidR="00E95192" w:rsidRPr="00E95192" w:rsidTr="00E95192">
        <w:trPr>
          <w:trHeight w:val="300"/>
        </w:trPr>
        <w:tc>
          <w:tcPr>
            <w:tcW w:w="9960" w:type="dxa"/>
            <w:gridSpan w:val="5"/>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помещений в многоквартирном доме ул.</w:t>
            </w:r>
            <w:r>
              <w:rPr>
                <w:b/>
                <w:bCs/>
                <w:i/>
                <w:iCs/>
                <w:sz w:val="22"/>
                <w:szCs w:val="22"/>
              </w:rPr>
              <w:t xml:space="preserve"> </w:t>
            </w:r>
            <w:r w:rsidRPr="00E95192">
              <w:rPr>
                <w:b/>
                <w:bCs/>
                <w:i/>
                <w:iCs/>
                <w:sz w:val="22"/>
                <w:szCs w:val="22"/>
              </w:rPr>
              <w:t>Готвальда  д.</w:t>
            </w:r>
            <w:r>
              <w:rPr>
                <w:b/>
                <w:bCs/>
                <w:i/>
                <w:iCs/>
                <w:sz w:val="22"/>
                <w:szCs w:val="22"/>
              </w:rPr>
              <w:t xml:space="preserve"> </w:t>
            </w:r>
            <w:r w:rsidRPr="00E95192">
              <w:rPr>
                <w:b/>
                <w:bCs/>
                <w:i/>
                <w:iCs/>
                <w:sz w:val="22"/>
                <w:szCs w:val="22"/>
              </w:rPr>
              <w:t>14</w:t>
            </w:r>
          </w:p>
        </w:tc>
      </w:tr>
      <w:tr w:rsidR="00E95192" w:rsidRPr="00E95192" w:rsidTr="00E95192">
        <w:trPr>
          <w:trHeight w:val="300"/>
        </w:trPr>
        <w:tc>
          <w:tcPr>
            <w:tcW w:w="62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9340" w:type="dxa"/>
            <w:gridSpan w:val="4"/>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r w:rsidRPr="00E95192">
              <w:rPr>
                <w:b/>
                <w:bCs/>
                <w:i/>
                <w:iCs/>
                <w:sz w:val="22"/>
                <w:szCs w:val="22"/>
              </w:rPr>
              <w:t xml:space="preserve">являющегося объектом конкурса </w:t>
            </w:r>
          </w:p>
        </w:tc>
      </w:tr>
      <w:tr w:rsidR="00E95192" w:rsidRPr="00E95192" w:rsidTr="00E95192">
        <w:trPr>
          <w:trHeight w:val="300"/>
        </w:trPr>
        <w:tc>
          <w:tcPr>
            <w:tcW w:w="62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r>
      <w:tr w:rsidR="00E95192" w:rsidRPr="00E95192" w:rsidTr="00E95192">
        <w:trPr>
          <w:trHeight w:val="300"/>
        </w:trPr>
        <w:tc>
          <w:tcPr>
            <w:tcW w:w="62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E95192" w:rsidRPr="00E95192" w:rsidRDefault="00E95192" w:rsidP="00E95192">
            <w:pPr>
              <w:jc w:val="center"/>
              <w:rPr>
                <w:b/>
                <w:bCs/>
                <w:i/>
                <w:iCs/>
                <w:sz w:val="22"/>
                <w:szCs w:val="22"/>
              </w:rPr>
            </w:pPr>
          </w:p>
        </w:tc>
      </w:tr>
      <w:tr w:rsidR="00E95192" w:rsidRPr="00E95192" w:rsidTr="00E95192">
        <w:trPr>
          <w:trHeight w:val="330"/>
        </w:trPr>
        <w:tc>
          <w:tcPr>
            <w:tcW w:w="6820" w:type="dxa"/>
            <w:gridSpan w:val="3"/>
            <w:tcBorders>
              <w:top w:val="nil"/>
              <w:left w:val="nil"/>
              <w:bottom w:val="nil"/>
              <w:right w:val="nil"/>
            </w:tcBorders>
            <w:shd w:val="clear" w:color="auto" w:fill="auto"/>
            <w:noWrap/>
            <w:vAlign w:val="bottom"/>
            <w:hideMark/>
          </w:tcPr>
          <w:p w:rsidR="00E95192" w:rsidRPr="00E95192" w:rsidRDefault="00E95192" w:rsidP="00E95192">
            <w:pPr>
              <w:jc w:val="right"/>
              <w:rPr>
                <w:b/>
                <w:bCs/>
                <w:i/>
                <w:iCs/>
                <w:sz w:val="22"/>
                <w:szCs w:val="22"/>
              </w:rPr>
            </w:pPr>
            <w:r w:rsidRPr="00E95192">
              <w:rPr>
                <w:b/>
                <w:bCs/>
                <w:i/>
                <w:iCs/>
                <w:sz w:val="22"/>
                <w:szCs w:val="22"/>
              </w:rPr>
              <w:t>Лот №1</w:t>
            </w:r>
          </w:p>
        </w:tc>
        <w:tc>
          <w:tcPr>
            <w:tcW w:w="1780" w:type="dxa"/>
            <w:tcBorders>
              <w:top w:val="nil"/>
              <w:left w:val="nil"/>
              <w:bottom w:val="nil"/>
              <w:right w:val="nil"/>
            </w:tcBorders>
            <w:shd w:val="clear" w:color="auto" w:fill="auto"/>
            <w:noWrap/>
            <w:vAlign w:val="bottom"/>
            <w:hideMark/>
          </w:tcPr>
          <w:p w:rsidR="00E95192" w:rsidRPr="00E95192" w:rsidRDefault="00E95192" w:rsidP="00E95192">
            <w:pPr>
              <w:jc w:val="right"/>
              <w:rPr>
                <w:b/>
                <w:bCs/>
                <w:i/>
                <w:iCs/>
                <w:sz w:val="22"/>
                <w:szCs w:val="22"/>
              </w:rPr>
            </w:pPr>
            <w:r w:rsidRPr="00E95192">
              <w:rPr>
                <w:b/>
                <w:bCs/>
                <w:i/>
                <w:iCs/>
                <w:sz w:val="22"/>
                <w:szCs w:val="22"/>
              </w:rPr>
              <w:t>282,00</w:t>
            </w:r>
          </w:p>
        </w:tc>
        <w:tc>
          <w:tcPr>
            <w:tcW w:w="1360" w:type="dxa"/>
            <w:tcBorders>
              <w:top w:val="nil"/>
              <w:left w:val="nil"/>
              <w:bottom w:val="nil"/>
              <w:right w:val="nil"/>
            </w:tcBorders>
            <w:shd w:val="clear" w:color="auto" w:fill="auto"/>
            <w:noWrap/>
            <w:vAlign w:val="bottom"/>
            <w:hideMark/>
          </w:tcPr>
          <w:p w:rsidR="00E95192" w:rsidRPr="00E95192" w:rsidRDefault="00E95192" w:rsidP="00E95192">
            <w:pPr>
              <w:rPr>
                <w:b/>
                <w:bCs/>
                <w:i/>
                <w:iCs/>
                <w:sz w:val="22"/>
                <w:szCs w:val="22"/>
              </w:rPr>
            </w:pPr>
            <w:r w:rsidRPr="00E95192">
              <w:rPr>
                <w:b/>
                <w:bCs/>
                <w:i/>
                <w:iCs/>
                <w:sz w:val="22"/>
                <w:szCs w:val="22"/>
              </w:rPr>
              <w:t>м</w:t>
            </w:r>
            <w:r w:rsidRPr="00E95192">
              <w:rPr>
                <w:b/>
                <w:bCs/>
                <w:i/>
                <w:iCs/>
                <w:sz w:val="22"/>
                <w:szCs w:val="22"/>
                <w:vertAlign w:val="superscript"/>
              </w:rPr>
              <w:t>2</w:t>
            </w:r>
          </w:p>
        </w:tc>
      </w:tr>
      <w:tr w:rsidR="00E95192" w:rsidRPr="00E95192" w:rsidTr="00E95192">
        <w:trPr>
          <w:trHeight w:val="315"/>
        </w:trPr>
        <w:tc>
          <w:tcPr>
            <w:tcW w:w="62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43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184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178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c>
          <w:tcPr>
            <w:tcW w:w="1360" w:type="dxa"/>
            <w:tcBorders>
              <w:top w:val="nil"/>
              <w:left w:val="nil"/>
              <w:bottom w:val="nil"/>
              <w:right w:val="nil"/>
            </w:tcBorders>
            <w:shd w:val="clear" w:color="auto" w:fill="auto"/>
            <w:noWrap/>
            <w:vAlign w:val="bottom"/>
            <w:hideMark/>
          </w:tcPr>
          <w:p w:rsidR="00E95192" w:rsidRPr="00E95192" w:rsidRDefault="00E95192" w:rsidP="00E95192">
            <w:pPr>
              <w:rPr>
                <w:sz w:val="22"/>
                <w:szCs w:val="22"/>
              </w:rPr>
            </w:pPr>
          </w:p>
        </w:tc>
      </w:tr>
      <w:tr w:rsidR="00E95192" w:rsidRPr="00E95192" w:rsidTr="00E95192">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 п/п</w:t>
            </w:r>
          </w:p>
        </w:tc>
        <w:tc>
          <w:tcPr>
            <w:tcW w:w="4360" w:type="dxa"/>
            <w:tcBorders>
              <w:top w:val="single" w:sz="8" w:space="0" w:color="auto"/>
              <w:left w:val="nil"/>
              <w:bottom w:val="nil"/>
              <w:right w:val="single" w:sz="8" w:space="0" w:color="auto"/>
            </w:tcBorders>
            <w:shd w:val="clear" w:color="auto" w:fill="auto"/>
            <w:noWrap/>
            <w:vAlign w:val="center"/>
            <w:hideMark/>
          </w:tcPr>
          <w:p w:rsidR="00E95192" w:rsidRPr="00E95192" w:rsidRDefault="00E95192" w:rsidP="00E95192">
            <w:pPr>
              <w:jc w:val="center"/>
              <w:rPr>
                <w:sz w:val="22"/>
                <w:szCs w:val="22"/>
              </w:rPr>
            </w:pPr>
            <w:r w:rsidRPr="00E95192">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Стоимость на 1 кв.м общ. площади (рублей в месяц)</w:t>
            </w:r>
          </w:p>
        </w:tc>
      </w:tr>
      <w:tr w:rsidR="00E95192" w:rsidRPr="00E95192" w:rsidTr="00E95192">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w:t>
            </w:r>
          </w:p>
        </w:tc>
      </w:tr>
      <w:tr w:rsidR="00E95192" w:rsidRPr="00E95192" w:rsidTr="00E95192">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1. Уборка земельного участка, входящего в состав общего имущества многоквартирного дома</w:t>
            </w:r>
          </w:p>
        </w:tc>
      </w:tr>
      <w:tr w:rsidR="00E95192" w:rsidRPr="00E95192" w:rsidTr="00E95192">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E95192" w:rsidRPr="00E95192" w:rsidRDefault="00E95192" w:rsidP="00E95192">
            <w:pPr>
              <w:jc w:val="center"/>
              <w:rPr>
                <w:sz w:val="22"/>
                <w:szCs w:val="22"/>
              </w:rPr>
            </w:pPr>
            <w:r w:rsidRPr="00E95192">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846,00</w:t>
            </w:r>
          </w:p>
        </w:tc>
        <w:tc>
          <w:tcPr>
            <w:tcW w:w="1360" w:type="dxa"/>
            <w:tcBorders>
              <w:top w:val="nil"/>
              <w:left w:val="nil"/>
              <w:bottom w:val="single" w:sz="4"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0,25</w:t>
            </w:r>
          </w:p>
        </w:tc>
      </w:tr>
      <w:tr w:rsidR="00E95192" w:rsidRPr="00E95192" w:rsidTr="00E95192">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1 015,20</w:t>
            </w:r>
          </w:p>
        </w:tc>
        <w:tc>
          <w:tcPr>
            <w:tcW w:w="1360" w:type="dxa"/>
            <w:tcBorders>
              <w:top w:val="nil"/>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0,30</w:t>
            </w:r>
          </w:p>
        </w:tc>
      </w:tr>
      <w:tr w:rsidR="00E95192" w:rsidRPr="00E95192" w:rsidTr="00E95192">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3. Проверка технических осмотров и мелкий ремонт</w:t>
            </w:r>
          </w:p>
        </w:tc>
      </w:tr>
      <w:tr w:rsidR="00E95192" w:rsidRPr="00E95192" w:rsidTr="00E95192">
        <w:trPr>
          <w:trHeight w:val="1215"/>
        </w:trPr>
        <w:tc>
          <w:tcPr>
            <w:tcW w:w="620" w:type="dxa"/>
            <w:tcBorders>
              <w:top w:val="nil"/>
              <w:left w:val="single" w:sz="8" w:space="0" w:color="auto"/>
              <w:bottom w:val="nil"/>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1 015,20</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0,30</w:t>
            </w:r>
          </w:p>
        </w:tc>
      </w:tr>
      <w:tr w:rsidR="00E95192" w:rsidRPr="00E95192" w:rsidTr="00E95192">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92" w:rsidRPr="00E95192" w:rsidRDefault="00E95192" w:rsidP="00E95192">
            <w:pPr>
              <w:jc w:val="center"/>
              <w:rPr>
                <w:bCs/>
                <w:iCs/>
                <w:sz w:val="22"/>
                <w:szCs w:val="22"/>
              </w:rPr>
            </w:pPr>
            <w:r w:rsidRPr="00E95192">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E95192" w:rsidRPr="00E95192" w:rsidRDefault="00E95192" w:rsidP="00E95192">
            <w:pPr>
              <w:rPr>
                <w:sz w:val="22"/>
                <w:szCs w:val="22"/>
              </w:rPr>
            </w:pPr>
            <w:r w:rsidRPr="00E95192">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E95192" w:rsidRPr="00E95192" w:rsidRDefault="00E95192" w:rsidP="00E95192">
            <w:pPr>
              <w:jc w:val="center"/>
              <w:rPr>
                <w:b/>
                <w:bCs/>
                <w:i/>
                <w:iCs/>
                <w:sz w:val="22"/>
                <w:szCs w:val="22"/>
              </w:rPr>
            </w:pPr>
            <w:r w:rsidRPr="00E95192">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3 384,00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E95192" w:rsidRPr="00E95192" w:rsidRDefault="00E95192" w:rsidP="00E95192">
            <w:pPr>
              <w:jc w:val="center"/>
              <w:rPr>
                <w:sz w:val="22"/>
                <w:szCs w:val="22"/>
              </w:rPr>
            </w:pPr>
            <w:r w:rsidRPr="00E95192">
              <w:rPr>
                <w:sz w:val="22"/>
                <w:szCs w:val="22"/>
              </w:rPr>
              <w:t>1,85</w:t>
            </w:r>
          </w:p>
        </w:tc>
      </w:tr>
      <w:tr w:rsidR="00E95192" w:rsidRPr="00E95192" w:rsidTr="00E95192">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E95192" w:rsidRPr="00E95192" w:rsidRDefault="00E95192" w:rsidP="00E95192">
            <w:pPr>
              <w:jc w:val="center"/>
              <w:rPr>
                <w:b/>
                <w:bCs/>
                <w:sz w:val="22"/>
                <w:szCs w:val="22"/>
              </w:rPr>
            </w:pPr>
            <w:r w:rsidRPr="00E95192">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E95192" w:rsidRPr="00E95192" w:rsidRDefault="00E95192" w:rsidP="00E95192">
            <w:pPr>
              <w:rPr>
                <w:sz w:val="22"/>
                <w:szCs w:val="22"/>
              </w:rPr>
            </w:pPr>
            <w:r w:rsidRPr="00E95192">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E95192" w:rsidRPr="00E95192" w:rsidRDefault="00E95192" w:rsidP="00E95192">
            <w:pPr>
              <w:jc w:val="center"/>
              <w:rPr>
                <w:b/>
                <w:bCs/>
                <w:sz w:val="22"/>
                <w:szCs w:val="22"/>
              </w:rPr>
            </w:pPr>
            <w:r w:rsidRPr="00E95192">
              <w:rPr>
                <w:b/>
                <w:bCs/>
                <w:sz w:val="22"/>
                <w:szCs w:val="22"/>
              </w:rPr>
              <w:t>6 260,40</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E95192" w:rsidRPr="00E95192" w:rsidRDefault="00E95192" w:rsidP="00E95192">
            <w:pPr>
              <w:jc w:val="center"/>
              <w:rPr>
                <w:b/>
                <w:bCs/>
                <w:sz w:val="22"/>
                <w:szCs w:val="22"/>
              </w:rPr>
            </w:pPr>
            <w:r w:rsidRPr="00E95192">
              <w:rPr>
                <w:b/>
                <w:bCs/>
                <w:sz w:val="22"/>
                <w:szCs w:val="22"/>
              </w:rPr>
              <w:t>1,85</w:t>
            </w:r>
          </w:p>
        </w:tc>
      </w:tr>
    </w:tbl>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Pr="006A5388" w:rsidRDefault="00DB617A" w:rsidP="00DB617A">
      <w:pPr>
        <w:autoSpaceDE w:val="0"/>
        <w:autoSpaceDN w:val="0"/>
        <w:adjustRightInd w:val="0"/>
        <w:jc w:val="right"/>
        <w:rPr>
          <w:b/>
          <w:sz w:val="22"/>
          <w:szCs w:val="22"/>
        </w:rPr>
      </w:pPr>
    </w:p>
    <w:p w:rsidR="00DB617A" w:rsidRDefault="00DB617A" w:rsidP="006A5388">
      <w:pPr>
        <w:autoSpaceDE w:val="0"/>
        <w:autoSpaceDN w:val="0"/>
        <w:adjustRightInd w:val="0"/>
        <w:jc w:val="right"/>
        <w:rPr>
          <w:b/>
          <w:sz w:val="22"/>
          <w:szCs w:val="22"/>
        </w:rPr>
      </w:pPr>
    </w:p>
    <w:p w:rsidR="00B17A65"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DB617A">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 xml:space="preserve">(организационно-правовая форма, наименование/фирменное наименование организации или Ф.И.О.  физического лица, </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государственного или муниципального жилищного фонда платы за содержание и ремонт жилого помещения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(должность, ф.и.о. руководителя организации или ф.и.о. индивидуального предпринимателя)</w:t>
      </w:r>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(ф.и.о.)</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lastRenderedPageBreak/>
        <w:t xml:space="preserve">Приложение № </w:t>
      </w:r>
      <w:r w:rsidR="00DB617A">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П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(фамилия, имя, отчество гражданина, наименование</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помещения(й)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являющ____ Собственником(ами)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(нежилого(ых)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комнат(ы)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r w:rsidRPr="00A944F4">
        <w:rPr>
          <w:rFonts w:eastAsia="Bookshelf Symbol 7" w:cs="MS Reference Sans Serif"/>
          <w:sz w:val="16"/>
          <w:lang w:eastAsia="ar-SA"/>
        </w:rPr>
        <w:t>(наименование федерального закона, акта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 требованиями пп.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отраженных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Реквизиты правового акта о признании всех жилых помещений в многоквартирном доме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подвалы)____кв.м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2.4.24. Площадь земельного участка, входящего в состав общего имущества многоквартирного дома ______ кв.м.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3.1.5. Принимать плату за содержание и ремонт жилого помещения, а также плату за коммунальные услуги для ресурсоснабжающих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3.1.11.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Собственнику(ам)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3.1.23. 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качестве способа обеспечения выступает (далее ненужное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Собственнику(ам)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помещением(ями).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 ______ (_______________) 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 _________ (_________) 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помещение(я)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в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4.10. 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4.12. 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 ________ (____________) 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6. Осуществление контроля за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и порядок регистрации факта нарушения условий настоящего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составления актов о нарушении условий Договора в соответствии с положениями п.п.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6.2.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 Состав и состояние общего имущества Многоквартирного дома по адресу ______________________________________на 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 Перечень обязательных услуг и работ по содержанию общего имущества в Многоквартирном доме по адресу ________________________________________ на __________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 Перечень дополнительных работ и услуг по содержанию и ремонту общего имущества в Многоквартирном доме по адресу ________________________________________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 Сведения о доле Собственника в помещении по правоустанавливающему документу на ________ л.</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Собственник(и)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кор/с__________________________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728FC"/>
    <w:rsid w:val="00073858"/>
    <w:rsid w:val="000749F5"/>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A5BDD"/>
    <w:rsid w:val="001B3EC4"/>
    <w:rsid w:val="001D5EEC"/>
    <w:rsid w:val="001F6B06"/>
    <w:rsid w:val="001F70F2"/>
    <w:rsid w:val="002160A0"/>
    <w:rsid w:val="00222843"/>
    <w:rsid w:val="0022449D"/>
    <w:rsid w:val="00235663"/>
    <w:rsid w:val="00243F02"/>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4571"/>
    <w:rsid w:val="002F5168"/>
    <w:rsid w:val="002F7FC0"/>
    <w:rsid w:val="00304193"/>
    <w:rsid w:val="00306534"/>
    <w:rsid w:val="00324733"/>
    <w:rsid w:val="00325020"/>
    <w:rsid w:val="00327FD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254A2"/>
    <w:rsid w:val="00434865"/>
    <w:rsid w:val="00436128"/>
    <w:rsid w:val="00455734"/>
    <w:rsid w:val="004562FF"/>
    <w:rsid w:val="00460811"/>
    <w:rsid w:val="00470828"/>
    <w:rsid w:val="00476D18"/>
    <w:rsid w:val="00484B7F"/>
    <w:rsid w:val="004869E8"/>
    <w:rsid w:val="00493119"/>
    <w:rsid w:val="004A2775"/>
    <w:rsid w:val="004B7CBF"/>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A7C"/>
    <w:rsid w:val="00543FBD"/>
    <w:rsid w:val="00545146"/>
    <w:rsid w:val="00547543"/>
    <w:rsid w:val="00553902"/>
    <w:rsid w:val="00554D20"/>
    <w:rsid w:val="00580139"/>
    <w:rsid w:val="00581B6E"/>
    <w:rsid w:val="005870FA"/>
    <w:rsid w:val="00592F27"/>
    <w:rsid w:val="005968D6"/>
    <w:rsid w:val="00597599"/>
    <w:rsid w:val="005C365F"/>
    <w:rsid w:val="005C75F1"/>
    <w:rsid w:val="005D1452"/>
    <w:rsid w:val="005F13B4"/>
    <w:rsid w:val="006038B8"/>
    <w:rsid w:val="00625B70"/>
    <w:rsid w:val="00636222"/>
    <w:rsid w:val="00643408"/>
    <w:rsid w:val="00643E90"/>
    <w:rsid w:val="00651EB2"/>
    <w:rsid w:val="00655E87"/>
    <w:rsid w:val="00666195"/>
    <w:rsid w:val="00671E5E"/>
    <w:rsid w:val="0068662D"/>
    <w:rsid w:val="0069592A"/>
    <w:rsid w:val="006A0A50"/>
    <w:rsid w:val="006A199B"/>
    <w:rsid w:val="006A5388"/>
    <w:rsid w:val="006A5CCC"/>
    <w:rsid w:val="006B4E55"/>
    <w:rsid w:val="006C31BB"/>
    <w:rsid w:val="006D04E0"/>
    <w:rsid w:val="006D2BB3"/>
    <w:rsid w:val="006D63AE"/>
    <w:rsid w:val="006E4ADB"/>
    <w:rsid w:val="006E4F6A"/>
    <w:rsid w:val="006E75A5"/>
    <w:rsid w:val="006F0DC5"/>
    <w:rsid w:val="006F262B"/>
    <w:rsid w:val="006F3BA5"/>
    <w:rsid w:val="006F7F74"/>
    <w:rsid w:val="007043D6"/>
    <w:rsid w:val="00711181"/>
    <w:rsid w:val="00715996"/>
    <w:rsid w:val="007333B7"/>
    <w:rsid w:val="007350F7"/>
    <w:rsid w:val="00742ACE"/>
    <w:rsid w:val="00754EE4"/>
    <w:rsid w:val="007614A0"/>
    <w:rsid w:val="00772AF9"/>
    <w:rsid w:val="007778C9"/>
    <w:rsid w:val="007A7464"/>
    <w:rsid w:val="007C25AA"/>
    <w:rsid w:val="007D3BA0"/>
    <w:rsid w:val="007D50F8"/>
    <w:rsid w:val="007E1E2F"/>
    <w:rsid w:val="007E30E5"/>
    <w:rsid w:val="007E51DB"/>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71B2"/>
    <w:rsid w:val="00873857"/>
    <w:rsid w:val="008758F2"/>
    <w:rsid w:val="0089286D"/>
    <w:rsid w:val="00893971"/>
    <w:rsid w:val="008A60C0"/>
    <w:rsid w:val="008B7FF9"/>
    <w:rsid w:val="008C0F99"/>
    <w:rsid w:val="008C248D"/>
    <w:rsid w:val="008C3645"/>
    <w:rsid w:val="008D1F24"/>
    <w:rsid w:val="008D2F40"/>
    <w:rsid w:val="008D554A"/>
    <w:rsid w:val="008D78C4"/>
    <w:rsid w:val="008D7AFE"/>
    <w:rsid w:val="008E223E"/>
    <w:rsid w:val="008E34F5"/>
    <w:rsid w:val="008E65BD"/>
    <w:rsid w:val="008E7A8B"/>
    <w:rsid w:val="008F2CA1"/>
    <w:rsid w:val="00907848"/>
    <w:rsid w:val="009118ED"/>
    <w:rsid w:val="0091308B"/>
    <w:rsid w:val="0092463B"/>
    <w:rsid w:val="00926CC6"/>
    <w:rsid w:val="0093785C"/>
    <w:rsid w:val="00943821"/>
    <w:rsid w:val="00954728"/>
    <w:rsid w:val="0097235C"/>
    <w:rsid w:val="00973277"/>
    <w:rsid w:val="0097444F"/>
    <w:rsid w:val="00984D44"/>
    <w:rsid w:val="00990393"/>
    <w:rsid w:val="00992359"/>
    <w:rsid w:val="00994C2A"/>
    <w:rsid w:val="009A2BA0"/>
    <w:rsid w:val="009A5A82"/>
    <w:rsid w:val="009C2957"/>
    <w:rsid w:val="009C2A88"/>
    <w:rsid w:val="009C3083"/>
    <w:rsid w:val="009C430D"/>
    <w:rsid w:val="009C4EE4"/>
    <w:rsid w:val="009C5817"/>
    <w:rsid w:val="009D1B88"/>
    <w:rsid w:val="009D4D74"/>
    <w:rsid w:val="009D678A"/>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B3C2E"/>
    <w:rsid w:val="00AC0874"/>
    <w:rsid w:val="00AC387B"/>
    <w:rsid w:val="00AC7007"/>
    <w:rsid w:val="00AD3F7B"/>
    <w:rsid w:val="00AD5421"/>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C32AB"/>
    <w:rsid w:val="00BD3274"/>
    <w:rsid w:val="00BD6576"/>
    <w:rsid w:val="00BE449D"/>
    <w:rsid w:val="00BE5E68"/>
    <w:rsid w:val="00C04D31"/>
    <w:rsid w:val="00C118A1"/>
    <w:rsid w:val="00C302E1"/>
    <w:rsid w:val="00C57DC4"/>
    <w:rsid w:val="00C71473"/>
    <w:rsid w:val="00C72054"/>
    <w:rsid w:val="00C77D6E"/>
    <w:rsid w:val="00C80472"/>
    <w:rsid w:val="00C91876"/>
    <w:rsid w:val="00C9596C"/>
    <w:rsid w:val="00CA287E"/>
    <w:rsid w:val="00CB006D"/>
    <w:rsid w:val="00CB05AB"/>
    <w:rsid w:val="00CB4603"/>
    <w:rsid w:val="00CB4731"/>
    <w:rsid w:val="00CB5A94"/>
    <w:rsid w:val="00CB5BB0"/>
    <w:rsid w:val="00CC3C26"/>
    <w:rsid w:val="00CC48B9"/>
    <w:rsid w:val="00CD06D1"/>
    <w:rsid w:val="00CD3E99"/>
    <w:rsid w:val="00CD5AB5"/>
    <w:rsid w:val="00CE2908"/>
    <w:rsid w:val="00D025A6"/>
    <w:rsid w:val="00D1616B"/>
    <w:rsid w:val="00D20F15"/>
    <w:rsid w:val="00D216A7"/>
    <w:rsid w:val="00D26ACA"/>
    <w:rsid w:val="00D33509"/>
    <w:rsid w:val="00D44189"/>
    <w:rsid w:val="00D5093E"/>
    <w:rsid w:val="00D52171"/>
    <w:rsid w:val="00D65BB7"/>
    <w:rsid w:val="00D65C2D"/>
    <w:rsid w:val="00D66334"/>
    <w:rsid w:val="00D80815"/>
    <w:rsid w:val="00D97191"/>
    <w:rsid w:val="00DA6EAF"/>
    <w:rsid w:val="00DA7ACC"/>
    <w:rsid w:val="00DA7F9D"/>
    <w:rsid w:val="00DB617A"/>
    <w:rsid w:val="00DC6B7B"/>
    <w:rsid w:val="00DD166E"/>
    <w:rsid w:val="00DD73BB"/>
    <w:rsid w:val="00DF7A35"/>
    <w:rsid w:val="00E00148"/>
    <w:rsid w:val="00E05C9D"/>
    <w:rsid w:val="00E062C8"/>
    <w:rsid w:val="00E207F7"/>
    <w:rsid w:val="00E20C0F"/>
    <w:rsid w:val="00E21DF7"/>
    <w:rsid w:val="00E256C0"/>
    <w:rsid w:val="00E26277"/>
    <w:rsid w:val="00E36817"/>
    <w:rsid w:val="00E42600"/>
    <w:rsid w:val="00E5003B"/>
    <w:rsid w:val="00E72A16"/>
    <w:rsid w:val="00E8754F"/>
    <w:rsid w:val="00E9003C"/>
    <w:rsid w:val="00E95192"/>
    <w:rsid w:val="00EA3C7D"/>
    <w:rsid w:val="00EA5B18"/>
    <w:rsid w:val="00EB0149"/>
    <w:rsid w:val="00EB3631"/>
    <w:rsid w:val="00EC1C41"/>
    <w:rsid w:val="00EC2BA2"/>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B7B33"/>
    <w:rsid w:val="00FC5067"/>
    <w:rsid w:val="00FD0D06"/>
    <w:rsid w:val="00FD1F48"/>
    <w:rsid w:val="00FD3EC5"/>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193617637">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006707686">
      <w:bodyDiv w:val="1"/>
      <w:marLeft w:val="0"/>
      <w:marRight w:val="0"/>
      <w:marTop w:val="0"/>
      <w:marBottom w:val="0"/>
      <w:divBdr>
        <w:top w:val="none" w:sz="0" w:space="0" w:color="auto"/>
        <w:left w:val="none" w:sz="0" w:space="0" w:color="auto"/>
        <w:bottom w:val="none" w:sz="0" w:space="0" w:color="auto"/>
        <w:right w:val="none" w:sz="0" w:space="0" w:color="auto"/>
      </w:divBdr>
    </w:div>
    <w:div w:id="1336303368">
      <w:bodyDiv w:val="1"/>
      <w:marLeft w:val="0"/>
      <w:marRight w:val="0"/>
      <w:marTop w:val="0"/>
      <w:marBottom w:val="0"/>
      <w:divBdr>
        <w:top w:val="none" w:sz="0" w:space="0" w:color="auto"/>
        <w:left w:val="none" w:sz="0" w:space="0" w:color="auto"/>
        <w:bottom w:val="none" w:sz="0" w:space="0" w:color="auto"/>
        <w:right w:val="none" w:sz="0" w:space="0" w:color="auto"/>
      </w:divBdr>
    </w:div>
    <w:div w:id="1340039375">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19199331">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2229725">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0357614">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561F-7411-42AB-B43D-AF36AF2C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14832</Words>
  <Characters>84543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33</cp:revision>
  <cp:lastPrinted>2020-09-30T10:12:00Z</cp:lastPrinted>
  <dcterms:created xsi:type="dcterms:W3CDTF">2020-12-10T07:33:00Z</dcterms:created>
  <dcterms:modified xsi:type="dcterms:W3CDTF">2021-03-18T10:19:00Z</dcterms:modified>
</cp:coreProperties>
</file>